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Study 1 Stimuli</w:t>
      </w:r>
      <w:r w:rsidDel="00000000" w:rsidR="00000000" w:rsidRPr="00000000">
        <w:rPr>
          <w:rtl w:val="0"/>
        </w:rPr>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Gain Condition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there was a legitimate error on your back taxes in your favor, and you will immediately receive $10 from the government. However, they are also giving you the option of receiving a different amount one year from now, instead. How much would the future amount need to be for you to choose it? The amount you would receive today is $10. The amount you would receive in the future ranges from $9 to $35. We will ask you several questions about whether you would prefer to get $10 today or another amount one year from today.</w:t>
      </w:r>
    </w:p>
    <w:p w:rsidR="00000000" w:rsidDel="00000000" w:rsidP="00000000" w:rsidRDefault="00000000" w:rsidRPr="00000000" w14:paraId="0000000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choose which option you prefer in each pair. Make sure you provide an answer for all 10 pairs: </w:t>
      </w:r>
    </w:p>
    <w:tbl>
      <w:tblPr>
        <w:tblStyle w:val="Table1"/>
        <w:tblW w:w="6476.0" w:type="dxa"/>
        <w:jc w:val="center"/>
        <w:tblLayout w:type="fixed"/>
        <w:tblLook w:val="0400"/>
      </w:tblPr>
      <w:tblGrid>
        <w:gridCol w:w="465"/>
        <w:gridCol w:w="2643"/>
        <w:gridCol w:w="105"/>
        <w:gridCol w:w="3263"/>
        <w:tblGridChange w:id="0">
          <w:tblGrid>
            <w:gridCol w:w="465"/>
            <w:gridCol w:w="2643"/>
            <w:gridCol w:w="105"/>
            <w:gridCol w:w="3263"/>
          </w:tblGrid>
        </w:tblGridChange>
      </w:tblGrid>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$9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$10.50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$11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$12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$14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$17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$20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$25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 immediately</w:t>
            </w:r>
          </w:p>
        </w:tc>
        <w:tc>
          <w:tcPr>
            <w:tcBorders>
              <w:right w:color="cccccc" w:space="0" w:sz="6" w:val="single"/>
            </w:tcBorders>
            <w:vAlign w:val="center"/>
          </w:tcPr>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$35 in one year</w:t>
            </w:r>
          </w:p>
        </w:tc>
      </w:tr>
    </w:tbl>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Gain Condition </w:t>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there was a legitimate error on your back taxes in your favor, and you will immediately receive $10,000 from the government. However, they are also giving you the option of receiving a different amount one year from now, instead. How much would the future amount need to be for you to choose it? The amount you would receive today is $10,000. The amount you would receive in the future ranges from $9,000 to $35,000. We will ask you several questions about whether you would prefer to get $10 today or another amount one year from today.</w:t>
      </w:r>
    </w:p>
    <w:p w:rsidR="00000000" w:rsidDel="00000000" w:rsidP="00000000" w:rsidRDefault="00000000" w:rsidRPr="00000000" w14:paraId="00000030">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choose which option you prefer in each pair. Make sure you provide an answer for all 10 pairs: </w:t>
      </w:r>
    </w:p>
    <w:tbl>
      <w:tblPr>
        <w:tblStyle w:val="Table2"/>
        <w:tblW w:w="6476.0" w:type="dxa"/>
        <w:jc w:val="center"/>
        <w:tblLayout w:type="fixed"/>
        <w:tblLook w:val="0400"/>
      </w:tblPr>
      <w:tblGrid>
        <w:gridCol w:w="465"/>
        <w:gridCol w:w="2643"/>
        <w:gridCol w:w="105"/>
        <w:gridCol w:w="3263"/>
        <w:tblGridChange w:id="0">
          <w:tblGrid>
            <w:gridCol w:w="465"/>
            <w:gridCol w:w="2643"/>
            <w:gridCol w:w="105"/>
            <w:gridCol w:w="3263"/>
          </w:tblGrid>
        </w:tblGridChange>
      </w:tblGrid>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$9,000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$10,500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$11,000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$12,000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$14,000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$17,000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$20,000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$25,000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$10,000 immediately</w:t>
            </w:r>
          </w:p>
        </w:tc>
        <w:tc>
          <w:tcPr>
            <w:tcBorders>
              <w:right w:color="cccccc" w:space="0" w:sz="6" w:val="single"/>
            </w:tcBorders>
            <w:vAlign w:val="center"/>
          </w:tcPr>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Receive $35,000 in one year</w:t>
            </w:r>
          </w:p>
        </w:tc>
      </w:tr>
    </w:tbl>
    <w:p w:rsidR="00000000" w:rsidDel="00000000" w:rsidP="00000000" w:rsidRDefault="00000000" w:rsidRPr="00000000" w14:paraId="0000005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Loss Condition </w:t>
      </w:r>
    </w:p>
    <w:p w:rsidR="00000000" w:rsidDel="00000000" w:rsidP="00000000" w:rsidRDefault="00000000" w:rsidRPr="00000000" w14:paraId="0000005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there was a legitimate error on your back taxes against you, and you must pay the government $10 immediately. However, they are also giving you the option of paying a different amount one year from now, instead. How much would the future amount need to be for you to choose it? The amount you would pay today is $10. The amount you would pay in the future ranges from $9 to $35. We will ask you several questions about whether you would prefer to pay $10 today or another amount one year from today.</w:t>
      </w:r>
    </w:p>
    <w:p w:rsidR="00000000" w:rsidDel="00000000" w:rsidP="00000000" w:rsidRDefault="00000000" w:rsidRPr="00000000" w14:paraId="0000005C">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choose which option you prefer in each pair. Make sure you provide an answer for all 10 pairs: </w:t>
      </w:r>
    </w:p>
    <w:tbl>
      <w:tblPr>
        <w:tblStyle w:val="Table3"/>
        <w:tblW w:w="6476.0" w:type="dxa"/>
        <w:jc w:val="center"/>
        <w:tblLayout w:type="fixed"/>
        <w:tblLook w:val="0400"/>
      </w:tblPr>
      <w:tblGrid>
        <w:gridCol w:w="465"/>
        <w:gridCol w:w="2643"/>
        <w:gridCol w:w="105"/>
        <w:gridCol w:w="3263"/>
        <w:tblGridChange w:id="0">
          <w:tblGrid>
            <w:gridCol w:w="465"/>
            <w:gridCol w:w="2643"/>
            <w:gridCol w:w="105"/>
            <w:gridCol w:w="3263"/>
          </w:tblGrid>
        </w:tblGridChange>
      </w:tblGrid>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$9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$10.50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$11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$12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$14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$17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$20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$25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$35 in one year</w:t>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Loss Condition</w:t>
      </w:r>
    </w:p>
    <w:p w:rsidR="00000000" w:rsidDel="00000000" w:rsidP="00000000" w:rsidRDefault="00000000" w:rsidRPr="00000000" w14:paraId="0000008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there was a legitimate error on your back taxes against you, and you must pay the government $10,000 immediately. However, they are also giving you the option of paying a different amount one year from now, instead. How much would the future amount need to be for you to choose it? The amount you would pay today is $10,000. The amount you would pay in the future ranges from $9,000 to $35,000. We will ask you several questions about whether you would prefer to pay $10,000 today or another amount one year from today.</w:t>
      </w:r>
    </w:p>
    <w:p w:rsidR="00000000" w:rsidDel="00000000" w:rsidP="00000000" w:rsidRDefault="00000000" w:rsidRPr="00000000" w14:paraId="0000008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choose which option you prefer in each pair. Make sure you provide an answer for all 10 pairs: </w:t>
      </w:r>
    </w:p>
    <w:tbl>
      <w:tblPr>
        <w:tblStyle w:val="Table4"/>
        <w:tblW w:w="6476.0" w:type="dxa"/>
        <w:jc w:val="center"/>
        <w:tblLayout w:type="fixed"/>
        <w:tblLook w:val="0400"/>
      </w:tblPr>
      <w:tblGrid>
        <w:gridCol w:w="465"/>
        <w:gridCol w:w="2643"/>
        <w:gridCol w:w="105"/>
        <w:gridCol w:w="3263"/>
        <w:tblGridChange w:id="0">
          <w:tblGrid>
            <w:gridCol w:w="465"/>
            <w:gridCol w:w="2643"/>
            <w:gridCol w:w="105"/>
            <w:gridCol w:w="3263"/>
          </w:tblGrid>
        </w:tblGridChange>
      </w:tblGrid>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$9,000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 immediately</w:t>
            </w:r>
          </w:p>
        </w:tc>
        <w:tc>
          <w:tcPr>
            <w:tcBorders>
              <w:right w:color="cccccc" w:space="0" w:sz="6" w:val="single"/>
            </w:tcBorders>
            <w:vAlign w:val="center"/>
          </w:tcPr>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7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$10,500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$11,000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4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$12,000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$14,000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1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$17,000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8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5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$20,000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3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$25,000 in one year</w:t>
            </w:r>
          </w:p>
        </w:tc>
      </w:tr>
      <w:tr>
        <w:trPr>
          <w:cantSplit w:val="0"/>
          <w:tblHeader w:val="0"/>
        </w:trPr>
        <w:tc>
          <w:tcPr>
            <w:tcMar>
              <w:top w:w="15.0" w:type="dxa"/>
              <w:left w:w="15.0" w:type="dxa"/>
              <w:bottom w:w="600.0" w:type="dxa"/>
              <w:right w:w="150.0" w:type="dxa"/>
            </w:tcMar>
            <w:vAlign w:val="center"/>
          </w:tcPr>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2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$10,000 immediately</w:t>
            </w:r>
          </w:p>
        </w:tc>
        <w:tc>
          <w:tcPr>
            <w:tcBorders>
              <w:right w:color="cccccc" w:space="0" w:sz="6" w:val="single"/>
            </w:tcBorders>
            <w:vAlign w:val="center"/>
          </w:tcPr>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255270" cy="212725"/>
                  <wp:effectExtent b="0" l="0" r="0" t="0"/>
                  <wp:docPr id="6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5270" cy="212725"/>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Pay $35,000 in one year</w:t>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Cognitive Reflection Test</w:t>
      </w:r>
    </w:p>
    <w:p w:rsidR="00000000" w:rsidDel="00000000" w:rsidP="00000000" w:rsidRDefault="00000000" w:rsidRPr="00000000" w14:paraId="000000B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bat and a ball cost $1.10 in total. The bat costs $1.00 more than the ball. How much does the ball cost? </w:t>
      </w:r>
    </w:p>
    <w:p w:rsidR="00000000" w:rsidDel="00000000" w:rsidP="00000000" w:rsidRDefault="00000000" w:rsidRPr="00000000" w14:paraId="000000B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 cents </w:t>
      </w:r>
    </w:p>
    <w:p w:rsidR="00000000" w:rsidDel="00000000" w:rsidP="00000000" w:rsidRDefault="00000000" w:rsidRPr="00000000" w14:paraId="000000B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it takes 5 machines 5 minutes to make 5 widgets, how long would it take 100 machines to make 100 widgets? </w:t>
      </w:r>
    </w:p>
    <w:p w:rsidR="00000000" w:rsidDel="00000000" w:rsidP="00000000" w:rsidRDefault="00000000" w:rsidRPr="00000000" w14:paraId="000000B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minutes </w:t>
      </w:r>
    </w:p>
    <w:p w:rsidR="00000000" w:rsidDel="00000000" w:rsidP="00000000" w:rsidRDefault="00000000" w:rsidRPr="00000000" w14:paraId="000000B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lake, there is a patch of lily pads. Every day, the patch doubles in size. If it takes 48 days for the patch to cover the entire lake, how long would it take for the patch to cover half of the lake?</w:t>
      </w:r>
    </w:p>
    <w:p w:rsidR="00000000" w:rsidDel="00000000" w:rsidP="00000000" w:rsidRDefault="00000000" w:rsidRPr="00000000" w14:paraId="000000B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__ days</w:t>
      </w:r>
    </w:p>
    <w:bookmarkStart w:colFirst="0" w:colLast="0" w:name="bookmark=kix.w5q5m1gqqvjk" w:id="0"/>
    <w:bookmarkEnd w:id="0"/>
    <w:p w:rsidR="00000000" w:rsidDel="00000000" w:rsidP="00000000" w:rsidRDefault="00000000" w:rsidRPr="00000000" w14:paraId="000000B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Demographics</w:t>
      </w:r>
    </w:p>
    <w:p w:rsidR="00000000" w:rsidDel="00000000" w:rsidP="00000000" w:rsidRDefault="00000000" w:rsidRPr="00000000" w14:paraId="000000BD">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complete the following information about yourself.</w:t>
      </w:r>
    </w:p>
    <w:tbl>
      <w:tblPr>
        <w:tblStyle w:val="Table5"/>
        <w:tblW w:w="93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30"/>
        <w:tblGridChange w:id="0">
          <w:tblGrid>
            <w:gridCol w:w="9330"/>
          </w:tblGrid>
        </w:tblGridChange>
      </w:tblGrid>
      <w:tr>
        <w:trPr>
          <w:cantSplit w:val="0"/>
          <w:trHeight w:val="525" w:hRule="atLeast"/>
          <w:tblHeader w:val="0"/>
        </w:trPr>
        <w:tc>
          <w:tcPr>
            <w:tcBorders>
              <w:top w:color="000000" w:space="0" w:sz="0" w:val="nil"/>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BE">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w:t>
            </w:r>
          </w:p>
        </w:tc>
      </w:tr>
      <w:tr>
        <w:trPr>
          <w:cantSplit w:val="0"/>
          <w:trHeight w:val="2565" w:hRule="atLeast"/>
          <w:tblHeader w:val="0"/>
        </w:trPr>
        <w:tc>
          <w:tcPr>
            <w:tcBorders>
              <w:top w:color="000000" w:space="0" w:sz="0" w:val="nil"/>
              <w:left w:color="000000" w:space="0" w:sz="0" w:val="nil"/>
              <w:bottom w:color="000000" w:space="0" w:sz="0" w:val="nil"/>
              <w:right w:color="000000" w:space="0" w:sz="0" w:val="nil"/>
            </w:tcBorders>
            <w:tcMar>
              <w:top w:w="120.0" w:type="dxa"/>
              <w:left w:w="120.0" w:type="dxa"/>
              <w:bottom w:w="120.0" w:type="dxa"/>
              <w:right w:w="120.0" w:type="dxa"/>
            </w:tcMar>
            <w:vAlign w:val="top"/>
          </w:tcPr>
          <w:p w:rsidR="00000000" w:rsidDel="00000000" w:rsidP="00000000" w:rsidRDefault="00000000" w:rsidRPr="00000000" w14:paraId="000000BF">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952500" cy="342900"/>
                  <wp:effectExtent b="0" l="0" r="0" t="0"/>
                  <wp:docPr id="1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95250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C0">
            <w:pPr>
              <w:spacing w:after="0" w:line="276" w:lineRule="auto"/>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Only numbers may be entered in this field</w:t>
            </w:r>
          </w:p>
          <w:p w:rsidR="00000000" w:rsidDel="00000000" w:rsidP="00000000" w:rsidRDefault="00000000" w:rsidRPr="00000000" w14:paraId="000000C1">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
              <w:tblW w:w="5872.59820127030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72.598201270304"/>
              <w:tblGridChange w:id="0">
                <w:tblGrid>
                  <w:gridCol w:w="5872.598201270304"/>
                </w:tblGrid>
              </w:tblGridChange>
            </w:tblGrid>
            <w:tr>
              <w:trPr>
                <w:cantSplit w:val="0"/>
                <w:trHeight w:val="51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C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children</w:t>
                  </w:r>
                </w:p>
                <w:p w:rsidR="00000000" w:rsidDel="00000000" w:rsidP="00000000" w:rsidRDefault="00000000" w:rsidRPr="00000000" w14:paraId="000000C3">
                  <w:pPr>
                    <w:widowControl w:val="0"/>
                    <w:spacing w:after="0" w:line="276"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Pr>
                    <w:drawing>
                      <wp:inline distB="114300" distT="114300" distL="114300" distR="114300">
                        <wp:extent cx="952500" cy="342900"/>
                        <wp:effectExtent b="0" l="0" r="0" t="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95250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C4">
                  <w:pPr>
                    <w:widowControl w:val="0"/>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numbers may be entered in this field</w:t>
                  </w:r>
                </w:p>
              </w:tc>
            </w:tr>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C5">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280" w:before="280" w:line="24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24"/>
                      <w:szCs w:val="24"/>
                      <w:rtl w:val="0"/>
                    </w:rPr>
                    <w:t xml:space="preserve">*Number of grandchildren</w:t>
                  </w:r>
                  <w:r w:rsidDel="00000000" w:rsidR="00000000" w:rsidRPr="00000000">
                    <w:rPr>
                      <w:rtl w:val="0"/>
                    </w:rPr>
                  </w:r>
                </w:p>
              </w:tc>
            </w:tr>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C7">
                  <w:pPr>
                    <w:widowControl w:val="0"/>
                    <w:spacing w:after="0" w:line="276"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Pr>
                    <w:drawing>
                      <wp:inline distB="114300" distT="114300" distL="114300" distR="114300">
                        <wp:extent cx="952500" cy="342900"/>
                        <wp:effectExtent b="0" l="0" r="0" t="0"/>
                        <wp:docPr id="5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95250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widowControl w:val="0"/>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numbers may be entered in this field</w:t>
                  </w:r>
                </w:p>
                <w:p w:rsidR="00000000" w:rsidDel="00000000" w:rsidP="00000000" w:rsidRDefault="00000000" w:rsidRPr="00000000" w14:paraId="000000C9">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CB">
            <w:pPr>
              <w:widowControl w:val="0"/>
              <w:spacing w:after="0" w:line="276" w:lineRule="auto"/>
              <w:rPr>
                <w:rFonts w:ascii="Times New Roman" w:cs="Times New Roman" w:eastAsia="Times New Roman" w:hAnsi="Times New Roman"/>
                <w:sz w:val="36"/>
                <w:szCs w:val="36"/>
              </w:rPr>
            </w:pPr>
            <w:r w:rsidDel="00000000" w:rsidR="00000000" w:rsidRPr="00000000">
              <w:rPr>
                <w:rtl w:val="0"/>
              </w:rPr>
            </w:r>
          </w:p>
        </w:tc>
      </w:tr>
    </w:tbl>
    <w:p w:rsidR="00000000" w:rsidDel="00000000" w:rsidP="00000000" w:rsidRDefault="00000000" w:rsidRPr="00000000" w14:paraId="000000CC">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76" w:lineRule="auto"/>
        <w:rPr>
          <w:rFonts w:ascii="Times New Roman" w:cs="Times New Roman" w:eastAsia="Times New Roman" w:hAnsi="Times New Roman"/>
          <w:sz w:val="24"/>
          <w:szCs w:val="24"/>
        </w:rPr>
      </w:pPr>
      <w:r w:rsidDel="00000000" w:rsidR="00000000" w:rsidRPr="00000000">
        <w:rPr>
          <w:rtl w:val="0"/>
        </w:rPr>
      </w:r>
    </w:p>
    <w:tbl>
      <w:tblPr>
        <w:tblStyle w:val="Table7"/>
        <w:tblW w:w="5872.59820127030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72.598201270304"/>
        <w:tblGridChange w:id="0">
          <w:tblGrid>
            <w:gridCol w:w="5872.598201270304"/>
          </w:tblGrid>
        </w:tblGridChange>
      </w:tblGrid>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CE">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280" w:before="280" w:line="24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24"/>
                <w:szCs w:val="24"/>
                <w:rtl w:val="0"/>
              </w:rPr>
              <w:t xml:space="preserve">*Year of Birth</w:t>
            </w:r>
            <w:r w:rsidDel="00000000" w:rsidR="00000000" w:rsidRPr="00000000">
              <w:rPr>
                <w:rtl w:val="0"/>
              </w:rPr>
            </w:r>
          </w:p>
        </w:tc>
      </w:tr>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D0">
            <w:pPr>
              <w:widowControl w:val="0"/>
              <w:spacing w:after="0" w:line="276"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Pr>
              <w:drawing>
                <wp:inline distB="114300" distT="114300" distL="114300" distR="114300">
                  <wp:extent cx="952500" cy="342900"/>
                  <wp:effectExtent b="0" l="0" r="0" t="0"/>
                  <wp:docPr id="5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95250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D1">
            <w:pPr>
              <w:widowControl w:val="0"/>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numbers may be entered in this field</w:t>
            </w:r>
          </w:p>
          <w:p w:rsidR="00000000" w:rsidDel="00000000" w:rsidP="00000000" w:rsidRDefault="00000000" w:rsidRPr="00000000" w14:paraId="000000D2">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4">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76" w:lineRule="auto"/>
        <w:rPr>
          <w:rFonts w:ascii="Times New Roman" w:cs="Times New Roman" w:eastAsia="Times New Roman" w:hAnsi="Times New Roman"/>
          <w:sz w:val="24"/>
          <w:szCs w:val="24"/>
        </w:rPr>
      </w:pPr>
      <w:r w:rsidDel="00000000" w:rsidR="00000000" w:rsidRPr="00000000">
        <w:rPr>
          <w:rtl w:val="0"/>
        </w:rPr>
      </w:r>
    </w:p>
    <w:tbl>
      <w:tblPr>
        <w:tblStyle w:val="Table8"/>
        <w:tblW w:w="5872.59820127030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72.598201270304"/>
        <w:tblGridChange w:id="0">
          <w:tblGrid>
            <w:gridCol w:w="5872.598201270304"/>
          </w:tblGrid>
        </w:tblGridChange>
      </w:tblGrid>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D6">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280" w:before="280" w:line="24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24"/>
                <w:szCs w:val="24"/>
                <w:rtl w:val="0"/>
              </w:rPr>
              <w:t xml:space="preserve">*Month of Birth</w:t>
            </w:r>
            <w:r w:rsidDel="00000000" w:rsidR="00000000" w:rsidRPr="00000000">
              <w:rPr>
                <w:rtl w:val="0"/>
              </w:rPr>
            </w:r>
          </w:p>
        </w:tc>
      </w:tr>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tcMar>
              <w:top w:w="120.0" w:type="dxa"/>
              <w:left w:w="120.0" w:type="dxa"/>
              <w:bottom w:w="120.0" w:type="dxa"/>
              <w:right w:w="120.0" w:type="dxa"/>
            </w:tcMar>
            <w:vAlign w:val="top"/>
          </w:tcPr>
          <w:p w:rsidR="00000000" w:rsidDel="00000000" w:rsidP="00000000" w:rsidRDefault="00000000" w:rsidRPr="00000000" w14:paraId="000000D8">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24"/>
                <w:szCs w:val="24"/>
              </w:rPr>
              <w:drawing>
                <wp:inline distB="114300" distT="114300" distL="114300" distR="114300">
                  <wp:extent cx="2114550" cy="342900"/>
                  <wp:effectExtent b="0" l="0" r="0" t="0"/>
                  <wp:docPr id="8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11455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D9">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widowControl w:val="0"/>
              <w:spacing w:after="0"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affiliation</w:t>
      </w:r>
    </w:p>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114550" cy="342900"/>
            <wp:effectExtent b="0" l="0" r="0" t="0"/>
            <wp:docPr id="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11455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DD">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ideology</w:t>
      </w:r>
    </w:p>
    <w:p w:rsidR="00000000" w:rsidDel="00000000" w:rsidP="00000000" w:rsidRDefault="00000000" w:rsidRPr="00000000" w14:paraId="000000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114550" cy="342900"/>
            <wp:effectExtent b="0" l="0" r="0" t="0"/>
            <wp:docPr id="1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11455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E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rPr>
          <w:vertAlign w:val="baseli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8YX0z3eIYCrUiC6nScxziX11WQ==">CgMxLjAyEGtpeC53NXE1bTFncXF2ams4AHIhMXdLZm9TVGNvTFlvQmpVeVdRU2JNaVh4THVySlB6OElG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